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ED" w:rsidRPr="00F77D45" w:rsidRDefault="00EC20ED" w:rsidP="00EC20ED">
      <w:pPr>
        <w:rPr>
          <w:sz w:val="24"/>
          <w:szCs w:val="24"/>
        </w:rPr>
      </w:pPr>
      <w:r w:rsidRPr="00F77D45">
        <w:rPr>
          <w:noProof/>
          <w:sz w:val="24"/>
          <w:szCs w:val="24"/>
          <w:lang w:val="es-CL" w:eastAsia="es-CL"/>
        </w:rPr>
        <w:drawing>
          <wp:anchor distT="0" distB="0" distL="114300" distR="114300" simplePos="0" relativeHeight="251665408" behindDoc="1" locked="0" layoutInCell="1" allowOverlap="1" wp14:anchorId="538D0CBD" wp14:editId="652E8952">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0ED" w:rsidRDefault="00EC20ED" w:rsidP="00EC20ED">
      <w:pPr>
        <w:tabs>
          <w:tab w:val="center" w:pos="4419"/>
          <w:tab w:val="left" w:pos="7340"/>
        </w:tabs>
        <w:jc w:val="center"/>
        <w:rPr>
          <w:b/>
          <w:sz w:val="24"/>
          <w:szCs w:val="24"/>
          <w:u w:val="single"/>
        </w:rPr>
      </w:pPr>
    </w:p>
    <w:p w:rsidR="00EC20ED" w:rsidRDefault="00EC20ED" w:rsidP="00EC20ED">
      <w:pPr>
        <w:tabs>
          <w:tab w:val="center" w:pos="4419"/>
          <w:tab w:val="left" w:pos="7340"/>
        </w:tabs>
        <w:jc w:val="center"/>
        <w:rPr>
          <w:b/>
          <w:sz w:val="24"/>
          <w:szCs w:val="24"/>
          <w:u w:val="single"/>
        </w:rPr>
      </w:pPr>
      <w:r>
        <w:rPr>
          <w:b/>
          <w:sz w:val="24"/>
          <w:szCs w:val="24"/>
          <w:u w:val="single"/>
        </w:rPr>
        <w:br/>
      </w:r>
    </w:p>
    <w:p w:rsidR="00EC20ED" w:rsidRDefault="00EC20ED" w:rsidP="00EC20ED">
      <w:pPr>
        <w:tabs>
          <w:tab w:val="center" w:pos="4419"/>
          <w:tab w:val="left" w:pos="7340"/>
        </w:tabs>
        <w:jc w:val="center"/>
        <w:rPr>
          <w:sz w:val="24"/>
          <w:szCs w:val="24"/>
          <w:u w:val="single"/>
        </w:rPr>
      </w:pPr>
      <w:r w:rsidRPr="00765FA8">
        <w:rPr>
          <w:b/>
          <w:sz w:val="24"/>
          <w:szCs w:val="24"/>
          <w:u w:val="single"/>
        </w:rPr>
        <w:t xml:space="preserve">INFORMACIÓN PARA PACIENTES: </w:t>
      </w:r>
      <w:r>
        <w:rPr>
          <w:b/>
          <w:sz w:val="24"/>
          <w:szCs w:val="24"/>
          <w:u w:val="single"/>
        </w:rPr>
        <w:br/>
      </w:r>
      <w:r w:rsidRPr="00765FA8">
        <w:rPr>
          <w:b/>
          <w:sz w:val="24"/>
          <w:szCs w:val="24"/>
          <w:u w:val="single"/>
        </w:rPr>
        <w:t>“</w:t>
      </w:r>
      <w:r w:rsidRPr="00FD0207">
        <w:rPr>
          <w:b/>
          <w:sz w:val="24"/>
          <w:szCs w:val="24"/>
          <w:u w:val="single"/>
        </w:rPr>
        <w:t>OSTEOTOMIA CORRECTORA DE FEMUR</w:t>
      </w:r>
      <w:r w:rsidRPr="00765FA8">
        <w:rPr>
          <w:b/>
          <w:sz w:val="24"/>
          <w:szCs w:val="24"/>
          <w:u w:val="single"/>
        </w:rPr>
        <w:t>”</w:t>
      </w:r>
    </w:p>
    <w:p w:rsidR="00EC20ED" w:rsidRDefault="00EC20ED" w:rsidP="00EC20ED">
      <w:pPr>
        <w:tabs>
          <w:tab w:val="center" w:pos="4419"/>
          <w:tab w:val="left" w:pos="7340"/>
        </w:tabs>
        <w:jc w:val="center"/>
        <w:rPr>
          <w:sz w:val="24"/>
          <w:szCs w:val="24"/>
          <w:u w:val="single"/>
        </w:rPr>
      </w:pPr>
    </w:p>
    <w:p w:rsidR="00EC20ED" w:rsidRPr="00234D56" w:rsidRDefault="00EC20ED" w:rsidP="00EC20ED">
      <w:pPr>
        <w:tabs>
          <w:tab w:val="center" w:pos="4419"/>
          <w:tab w:val="left" w:pos="7340"/>
        </w:tabs>
        <w:jc w:val="center"/>
        <w:rPr>
          <w:sz w:val="24"/>
          <w:szCs w:val="24"/>
          <w:u w:val="single"/>
        </w:rPr>
      </w:pPr>
    </w:p>
    <w:p w:rsidR="00014B08" w:rsidRDefault="00014B08" w:rsidP="00014B08">
      <w:pPr>
        <w:jc w:val="both"/>
        <w:rPr>
          <w:sz w:val="24"/>
        </w:rPr>
      </w:pPr>
      <w:r>
        <w:rPr>
          <w:sz w:val="24"/>
        </w:rPr>
        <w:t>El presente documento permite entregar información al paciente respecto a la cirugía específica  a realizar,  por lo que NO CONSTITUYE  EL CONSENTIMIENTO INFORMADO.</w:t>
      </w:r>
    </w:p>
    <w:p w:rsidR="00014B08" w:rsidRDefault="00014B08" w:rsidP="00014B08">
      <w:pPr>
        <w:jc w:val="both"/>
        <w:rPr>
          <w:sz w:val="24"/>
        </w:rPr>
      </w:pPr>
    </w:p>
    <w:p w:rsidR="00014B08" w:rsidRDefault="00014B08" w:rsidP="00014B08">
      <w:pPr>
        <w:jc w:val="both"/>
        <w:rPr>
          <w:sz w:val="24"/>
        </w:rPr>
      </w:pPr>
      <w:r>
        <w:rPr>
          <w:sz w:val="24"/>
        </w:rPr>
        <w:t xml:space="preserve">El  CONSENTIMIENTO INFORMADO, debe ser  llenado en el formulario en  la página web: www.hospitalcurico.cl,  en el enlace: </w:t>
      </w:r>
      <w:r>
        <w:rPr>
          <w:b/>
          <w:i/>
          <w:sz w:val="24"/>
          <w:u w:val="single"/>
        </w:rPr>
        <w:t>https://intranet.hospitalcurico.cl/projects/consentimiento</w:t>
      </w:r>
    </w:p>
    <w:p w:rsidR="00AF7947" w:rsidRDefault="00AF7947" w:rsidP="00BE6E36">
      <w:pPr>
        <w:jc w:val="center"/>
        <w:rPr>
          <w:b/>
          <w:sz w:val="24"/>
          <w:szCs w:val="24"/>
        </w:rPr>
      </w:pPr>
      <w:bookmarkStart w:id="0" w:name="_GoBack"/>
      <w:bookmarkEnd w:id="0"/>
    </w:p>
    <w:p w:rsidR="00BE6E36" w:rsidRDefault="00BE6E36" w:rsidP="00BE6E36">
      <w:pPr>
        <w:spacing w:line="360" w:lineRule="auto"/>
        <w:rPr>
          <w:b/>
        </w:rPr>
      </w:pPr>
    </w:p>
    <w:p w:rsidR="00BE6E36" w:rsidRPr="00EC20ED" w:rsidRDefault="00BE6E36" w:rsidP="00FD0207">
      <w:pPr>
        <w:rPr>
          <w:b/>
          <w:sz w:val="24"/>
          <w:szCs w:val="24"/>
        </w:rPr>
      </w:pPr>
      <w:r w:rsidRPr="00EC20ED">
        <w:rPr>
          <w:b/>
          <w:sz w:val="24"/>
          <w:szCs w:val="24"/>
        </w:rPr>
        <w:t>Objetivos del procedimiento:</w:t>
      </w:r>
    </w:p>
    <w:p w:rsidR="004366F5" w:rsidRPr="00EC20ED" w:rsidRDefault="004366F5" w:rsidP="00FD0207">
      <w:pPr>
        <w:autoSpaceDE w:val="0"/>
        <w:autoSpaceDN w:val="0"/>
        <w:adjustRightInd w:val="0"/>
        <w:jc w:val="both"/>
        <w:rPr>
          <w:color w:val="000000"/>
          <w:sz w:val="24"/>
          <w:szCs w:val="24"/>
          <w:lang w:val="es-CL" w:eastAsia="es-CL"/>
        </w:rPr>
      </w:pPr>
      <w:r w:rsidRPr="00EC20ED">
        <w:rPr>
          <w:color w:val="000000"/>
          <w:sz w:val="24"/>
          <w:szCs w:val="24"/>
          <w:lang w:val="es-CL" w:eastAsia="es-CL"/>
        </w:rPr>
        <w:t xml:space="preserve">El propósito principal de la intervención es la corrección de la configuración del fémur, bien a nivel proximal como distal, en aquellos casos que alteran la anatomía o la función de la cadera o la rodilla, causantes de dolor, degeneración </w:t>
      </w:r>
      <w:proofErr w:type="spellStart"/>
      <w:r w:rsidRPr="00EC20ED">
        <w:rPr>
          <w:color w:val="000000"/>
          <w:sz w:val="24"/>
          <w:szCs w:val="24"/>
          <w:lang w:val="es-CL" w:eastAsia="es-CL"/>
        </w:rPr>
        <w:t>artrósica</w:t>
      </w:r>
      <w:proofErr w:type="spellEnd"/>
      <w:r w:rsidRPr="00EC20ED">
        <w:rPr>
          <w:color w:val="000000"/>
          <w:sz w:val="24"/>
          <w:szCs w:val="24"/>
          <w:lang w:val="es-CL" w:eastAsia="es-CL"/>
        </w:rPr>
        <w:t xml:space="preserve"> o anomalías funcionales.</w:t>
      </w:r>
    </w:p>
    <w:p w:rsidR="00BE6E36" w:rsidRPr="00EC20ED" w:rsidRDefault="00BE6E36" w:rsidP="00FD0207">
      <w:pPr>
        <w:jc w:val="both"/>
        <w:rPr>
          <w:sz w:val="24"/>
          <w:szCs w:val="24"/>
        </w:rPr>
      </w:pPr>
    </w:p>
    <w:p w:rsidR="00BE6E36" w:rsidRPr="00EC20ED" w:rsidRDefault="00BE6E36" w:rsidP="00FD0207">
      <w:pPr>
        <w:jc w:val="both"/>
        <w:rPr>
          <w:b/>
          <w:sz w:val="24"/>
          <w:szCs w:val="24"/>
        </w:rPr>
      </w:pPr>
      <w:r w:rsidRPr="00EC20ED">
        <w:rPr>
          <w:b/>
          <w:sz w:val="24"/>
          <w:szCs w:val="24"/>
        </w:rPr>
        <w:t>Descripción del procedimiento:</w:t>
      </w:r>
    </w:p>
    <w:p w:rsidR="004366F5" w:rsidRPr="00EC20ED" w:rsidRDefault="004366F5" w:rsidP="00FD0207">
      <w:pPr>
        <w:autoSpaceDE w:val="0"/>
        <w:autoSpaceDN w:val="0"/>
        <w:adjustRightInd w:val="0"/>
        <w:jc w:val="both"/>
        <w:rPr>
          <w:color w:val="000000"/>
          <w:sz w:val="24"/>
          <w:szCs w:val="24"/>
          <w:lang w:val="es-CL" w:eastAsia="es-CL"/>
        </w:rPr>
      </w:pPr>
      <w:r w:rsidRPr="00EC20ED">
        <w:rPr>
          <w:color w:val="000000"/>
          <w:sz w:val="24"/>
          <w:szCs w:val="24"/>
          <w:lang w:val="es-CL" w:eastAsia="es-CL"/>
        </w:rPr>
        <w:t>La intervención consiste en corregir la morfología del fémur mediante secciones óseas, bien a nivel proximal como distal, restituyendo la anatomía normal y manteniéndola en su nueva situación mediante implantes metálicos tales como placas, tornillos o clavos.</w:t>
      </w:r>
    </w:p>
    <w:p w:rsidR="004366F5" w:rsidRPr="00EC20ED" w:rsidRDefault="004366F5" w:rsidP="00FD0207">
      <w:pPr>
        <w:autoSpaceDE w:val="0"/>
        <w:autoSpaceDN w:val="0"/>
        <w:adjustRightInd w:val="0"/>
        <w:jc w:val="both"/>
        <w:rPr>
          <w:color w:val="000000"/>
          <w:sz w:val="24"/>
          <w:szCs w:val="24"/>
          <w:lang w:val="es-CL" w:eastAsia="es-CL"/>
        </w:rPr>
      </w:pPr>
      <w:r w:rsidRPr="00EC20ED">
        <w:rPr>
          <w:color w:val="000000"/>
          <w:sz w:val="24"/>
          <w:szCs w:val="24"/>
          <w:lang w:val="es-CL" w:eastAsia="es-CL"/>
        </w:rPr>
        <w:t>La intervención puede precisar anestesia, cuyo tipo y modalidad serán valoradas por el Servicio de Anestesia y Reanimación.</w:t>
      </w:r>
    </w:p>
    <w:p w:rsidR="004366F5" w:rsidRPr="00EC20ED" w:rsidRDefault="004366F5" w:rsidP="00FD0207">
      <w:pPr>
        <w:jc w:val="both"/>
        <w:rPr>
          <w:b/>
          <w:sz w:val="24"/>
          <w:szCs w:val="24"/>
        </w:rPr>
      </w:pPr>
    </w:p>
    <w:p w:rsidR="00BE6E36" w:rsidRPr="00EC20ED" w:rsidRDefault="00BE6E36" w:rsidP="00FD0207">
      <w:pPr>
        <w:jc w:val="both"/>
        <w:rPr>
          <w:b/>
          <w:sz w:val="24"/>
          <w:szCs w:val="24"/>
        </w:rPr>
      </w:pPr>
      <w:r w:rsidRPr="00EC20ED">
        <w:rPr>
          <w:b/>
          <w:sz w:val="24"/>
          <w:szCs w:val="24"/>
        </w:rPr>
        <w:t>Riesgos del procedimiento:</w:t>
      </w:r>
    </w:p>
    <w:p w:rsidR="004366F5" w:rsidRPr="00EC20ED" w:rsidRDefault="004366F5" w:rsidP="00FD0207">
      <w:pPr>
        <w:autoSpaceDE w:val="0"/>
        <w:autoSpaceDN w:val="0"/>
        <w:adjustRightInd w:val="0"/>
        <w:jc w:val="both"/>
        <w:rPr>
          <w:color w:val="000000"/>
          <w:sz w:val="24"/>
          <w:szCs w:val="24"/>
          <w:lang w:val="es-CL" w:eastAsia="es-CL"/>
        </w:rPr>
      </w:pPr>
      <w:r w:rsidRPr="00EC20ED">
        <w:rPr>
          <w:color w:val="000000"/>
          <w:sz w:val="24"/>
          <w:szCs w:val="24"/>
          <w:lang w:val="es-CL" w:eastAsia="es-CL"/>
        </w:rPr>
        <w:t>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4366F5" w:rsidRPr="00EC20ED" w:rsidRDefault="004366F5" w:rsidP="00FD0207">
      <w:pPr>
        <w:autoSpaceDE w:val="0"/>
        <w:autoSpaceDN w:val="0"/>
        <w:adjustRightInd w:val="0"/>
        <w:jc w:val="both"/>
        <w:rPr>
          <w:color w:val="000000"/>
          <w:sz w:val="24"/>
          <w:szCs w:val="24"/>
          <w:lang w:val="es-CL" w:eastAsia="es-CL"/>
        </w:rPr>
      </w:pPr>
      <w:r w:rsidRPr="00EC20ED">
        <w:rPr>
          <w:color w:val="000000"/>
          <w:sz w:val="24"/>
          <w:szCs w:val="24"/>
          <w:lang w:val="es-CL" w:eastAsia="es-CL"/>
        </w:rPr>
        <w:t>Las complicaciones de la intervención quirúrgica de OSTEOTOMÍA CORRECTORA DE FÉMUR pueden ser:</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Infección de la herida quirúrgica.</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Lesión vascular.</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Lesión o afectación de algún tronco nervioso que pudiera causar, temporal o definitivamente, trastornos sensitivos o motores.</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Rotura o estallido del hueso que se manipula durante la intervención.</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Aflojamiento o rotura del material implantado.</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Flebitis o tromboflebitis que podrían provocar embolismo pulmonar y muerte.</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Embolia grasa.</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Rigidez o limitación funcional articular.</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Retraso o fracaso de la consolidación ósea que pudiera requerir nuevas intervenciones.</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Dolor residual relacionado o no con el implante.</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 xml:space="preserve">Síndrome </w:t>
      </w:r>
      <w:proofErr w:type="spellStart"/>
      <w:r w:rsidRPr="00EC20ED">
        <w:rPr>
          <w:color w:val="000000"/>
          <w:sz w:val="24"/>
          <w:szCs w:val="24"/>
          <w:lang w:val="es-CL" w:eastAsia="es-CL"/>
        </w:rPr>
        <w:t>compartimental</w:t>
      </w:r>
      <w:proofErr w:type="spellEnd"/>
      <w:r w:rsidRPr="00EC20ED">
        <w:rPr>
          <w:color w:val="000000"/>
          <w:sz w:val="24"/>
          <w:szCs w:val="24"/>
          <w:lang w:val="es-CL" w:eastAsia="es-CL"/>
        </w:rPr>
        <w:t>.</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Distrofia simpático-refleja.</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Necrosis cutáneas.</w:t>
      </w:r>
    </w:p>
    <w:p w:rsidR="004366F5" w:rsidRPr="00EC20ED" w:rsidRDefault="004366F5" w:rsidP="00FD0207">
      <w:pPr>
        <w:numPr>
          <w:ilvl w:val="0"/>
          <w:numId w:val="5"/>
        </w:numPr>
        <w:autoSpaceDE w:val="0"/>
        <w:autoSpaceDN w:val="0"/>
        <w:adjustRightInd w:val="0"/>
        <w:ind w:left="284" w:hanging="284"/>
        <w:jc w:val="both"/>
        <w:rPr>
          <w:color w:val="000000"/>
          <w:sz w:val="24"/>
          <w:szCs w:val="24"/>
          <w:lang w:val="es-CL" w:eastAsia="es-CL"/>
        </w:rPr>
      </w:pPr>
      <w:r w:rsidRPr="00EC20ED">
        <w:rPr>
          <w:color w:val="000000"/>
          <w:sz w:val="24"/>
          <w:szCs w:val="24"/>
          <w:lang w:val="es-CL" w:eastAsia="es-CL"/>
        </w:rPr>
        <w:t>Acortamiento, alargamiento o defectos de rotación del miembro intervenido.</w:t>
      </w:r>
    </w:p>
    <w:p w:rsidR="00BE6E36" w:rsidRPr="00EC20ED" w:rsidRDefault="00BE6E36" w:rsidP="00FD0207">
      <w:pPr>
        <w:jc w:val="both"/>
        <w:rPr>
          <w:sz w:val="24"/>
          <w:szCs w:val="24"/>
        </w:rPr>
      </w:pPr>
    </w:p>
    <w:p w:rsidR="00BE6E36" w:rsidRPr="00EC20ED" w:rsidRDefault="00BE6E36" w:rsidP="00FD0207">
      <w:pPr>
        <w:jc w:val="both"/>
        <w:rPr>
          <w:b/>
          <w:sz w:val="24"/>
          <w:szCs w:val="24"/>
        </w:rPr>
      </w:pPr>
      <w:r w:rsidRPr="00EC20ED">
        <w:rPr>
          <w:b/>
          <w:sz w:val="24"/>
          <w:szCs w:val="24"/>
        </w:rPr>
        <w:t>Alternativas al procedimiento propuesto:</w:t>
      </w:r>
    </w:p>
    <w:p w:rsidR="004366F5" w:rsidRPr="00EC20ED" w:rsidRDefault="004366F5" w:rsidP="00FD0207">
      <w:pPr>
        <w:autoSpaceDE w:val="0"/>
        <w:autoSpaceDN w:val="0"/>
        <w:adjustRightInd w:val="0"/>
        <w:jc w:val="both"/>
        <w:rPr>
          <w:color w:val="000000"/>
          <w:sz w:val="24"/>
          <w:szCs w:val="24"/>
          <w:lang w:val="es-CL" w:eastAsia="es-CL"/>
        </w:rPr>
      </w:pPr>
      <w:r w:rsidRPr="00EC20ED">
        <w:rPr>
          <w:color w:val="000000"/>
          <w:sz w:val="24"/>
          <w:szCs w:val="24"/>
          <w:lang w:val="es-CL" w:eastAsia="es-CL"/>
        </w:rPr>
        <w:t>No existen.</w:t>
      </w:r>
    </w:p>
    <w:p w:rsidR="00BE6E36" w:rsidRPr="00EC20ED" w:rsidRDefault="00BE6E36" w:rsidP="00FD0207">
      <w:pPr>
        <w:jc w:val="both"/>
        <w:rPr>
          <w:sz w:val="24"/>
          <w:szCs w:val="24"/>
        </w:rPr>
      </w:pPr>
    </w:p>
    <w:p w:rsidR="00BE6E36" w:rsidRPr="00EC20ED" w:rsidRDefault="00BE6E36" w:rsidP="00FD0207">
      <w:pPr>
        <w:jc w:val="both"/>
        <w:rPr>
          <w:b/>
          <w:sz w:val="24"/>
          <w:szCs w:val="24"/>
        </w:rPr>
      </w:pPr>
      <w:r w:rsidRPr="00EC20ED">
        <w:rPr>
          <w:b/>
          <w:sz w:val="24"/>
          <w:szCs w:val="24"/>
        </w:rPr>
        <w:t>Consecuencias de no aceptar el procedimiento:</w:t>
      </w:r>
    </w:p>
    <w:p w:rsidR="00BE6E36" w:rsidRPr="00EC20ED" w:rsidRDefault="00823655" w:rsidP="00FD0207">
      <w:pPr>
        <w:jc w:val="both"/>
        <w:rPr>
          <w:sz w:val="24"/>
          <w:szCs w:val="24"/>
        </w:rPr>
      </w:pPr>
      <w:r w:rsidRPr="00EC20ED">
        <w:rPr>
          <w:sz w:val="24"/>
          <w:szCs w:val="24"/>
        </w:rPr>
        <w:t xml:space="preserve">Deformidad en la configuración del fémur a  nivel proximal como distal, alteración en la función de la cadera o rodilla, </w:t>
      </w:r>
      <w:proofErr w:type="spellStart"/>
      <w:r w:rsidRPr="00EC20ED">
        <w:rPr>
          <w:sz w:val="24"/>
          <w:szCs w:val="24"/>
        </w:rPr>
        <w:t>degenracion</w:t>
      </w:r>
      <w:proofErr w:type="spellEnd"/>
      <w:r w:rsidRPr="00EC20ED">
        <w:rPr>
          <w:sz w:val="24"/>
          <w:szCs w:val="24"/>
        </w:rPr>
        <w:t xml:space="preserve">  </w:t>
      </w:r>
      <w:proofErr w:type="spellStart"/>
      <w:r w:rsidRPr="00EC20ED">
        <w:rPr>
          <w:sz w:val="24"/>
          <w:szCs w:val="24"/>
        </w:rPr>
        <w:t>artrosica</w:t>
      </w:r>
      <w:proofErr w:type="spellEnd"/>
      <w:r w:rsidRPr="00EC20ED">
        <w:rPr>
          <w:sz w:val="24"/>
          <w:szCs w:val="24"/>
        </w:rPr>
        <w:t xml:space="preserve"> o anomalías funcionales causantes del dolor.</w:t>
      </w:r>
    </w:p>
    <w:p w:rsidR="004366F5" w:rsidRPr="00EC20ED" w:rsidRDefault="004366F5" w:rsidP="00FD0207">
      <w:pPr>
        <w:rPr>
          <w:sz w:val="24"/>
          <w:szCs w:val="24"/>
        </w:rPr>
      </w:pPr>
    </w:p>
    <w:p w:rsidR="00BE6E36" w:rsidRPr="00EC20ED" w:rsidRDefault="00BE6E36" w:rsidP="00FD0207">
      <w:pPr>
        <w:rPr>
          <w:b/>
          <w:sz w:val="24"/>
          <w:szCs w:val="24"/>
        </w:rPr>
      </w:pPr>
      <w:r w:rsidRPr="00EC20ED">
        <w:rPr>
          <w:b/>
          <w:sz w:val="24"/>
          <w:szCs w:val="24"/>
        </w:rPr>
        <w:lastRenderedPageBreak/>
        <w:t>Mecanismo para solicitar más información:</w:t>
      </w:r>
    </w:p>
    <w:p w:rsidR="00BE6E36" w:rsidRPr="00EC20ED" w:rsidRDefault="00823655" w:rsidP="00FD0207">
      <w:pPr>
        <w:rPr>
          <w:sz w:val="24"/>
          <w:szCs w:val="24"/>
        </w:rPr>
      </w:pPr>
      <w:r w:rsidRPr="00EC20ED">
        <w:rPr>
          <w:sz w:val="24"/>
          <w:szCs w:val="24"/>
        </w:rPr>
        <w:t>Su mé</w:t>
      </w:r>
      <w:r w:rsidR="008C6D8C" w:rsidRPr="00EC20ED">
        <w:rPr>
          <w:sz w:val="24"/>
          <w:szCs w:val="24"/>
        </w:rPr>
        <w:t>dico tratante, jefe de servicio.</w:t>
      </w:r>
    </w:p>
    <w:p w:rsidR="00EC20ED" w:rsidRDefault="00EC20ED" w:rsidP="00D870C5">
      <w:pPr>
        <w:pStyle w:val="Default"/>
        <w:rPr>
          <w:b/>
          <w:bCs/>
        </w:rPr>
      </w:pPr>
    </w:p>
    <w:p w:rsidR="00D870C5" w:rsidRPr="00EC20ED" w:rsidRDefault="00D870C5" w:rsidP="00D870C5">
      <w:pPr>
        <w:pStyle w:val="Default"/>
      </w:pPr>
      <w:r w:rsidRPr="00EC20ED">
        <w:rPr>
          <w:b/>
          <w:bCs/>
        </w:rPr>
        <w:t xml:space="preserve">Revocabilidad </w:t>
      </w:r>
    </w:p>
    <w:p w:rsidR="00D870C5" w:rsidRPr="00EC20ED" w:rsidRDefault="00D870C5" w:rsidP="00EC20ED">
      <w:pPr>
        <w:pStyle w:val="Textoindependiente"/>
        <w:rPr>
          <w:rFonts w:cs="Arial"/>
          <w:szCs w:val="24"/>
        </w:rPr>
      </w:pPr>
      <w:r w:rsidRPr="00EC20ED">
        <w:rPr>
          <w:rFonts w:ascii="Times New Roman" w:hAnsi="Times New Roman"/>
          <w:iCs/>
          <w:szCs w:val="24"/>
        </w:rPr>
        <w:t>Se me señala, que hacer si cambio de idea tanto en aceptar o rechazar el procedimiento, cirugía o terapia propuesta.</w:t>
      </w:r>
      <w:r w:rsidR="00EC20ED" w:rsidRPr="00EC20ED">
        <w:rPr>
          <w:rFonts w:cs="Arial"/>
          <w:szCs w:val="24"/>
        </w:rPr>
        <w:t xml:space="preserve"> </w:t>
      </w:r>
    </w:p>
    <w:p w:rsidR="0094481E" w:rsidRPr="00DF5C6E" w:rsidRDefault="0094481E" w:rsidP="00D870C5">
      <w:pPr>
        <w:rPr>
          <w:rFonts w:ascii="Arial" w:hAnsi="Arial" w:cs="Arial"/>
        </w:rPr>
      </w:pPr>
    </w:p>
    <w:sectPr w:rsidR="0094481E" w:rsidRPr="00DF5C6E" w:rsidSect="005C3010">
      <w:pgSz w:w="11907" w:h="16839" w:code="9"/>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34534E"/>
    <w:multiLevelType w:val="hybridMultilevel"/>
    <w:tmpl w:val="1826BA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6911011F"/>
    <w:multiLevelType w:val="hybridMultilevel"/>
    <w:tmpl w:val="5B16B6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14B08"/>
    <w:rsid w:val="00032890"/>
    <w:rsid w:val="00042AD2"/>
    <w:rsid w:val="000432E5"/>
    <w:rsid w:val="00085A3F"/>
    <w:rsid w:val="00086625"/>
    <w:rsid w:val="00096D1F"/>
    <w:rsid w:val="000B209A"/>
    <w:rsid w:val="000C01F4"/>
    <w:rsid w:val="000C1896"/>
    <w:rsid w:val="000C2061"/>
    <w:rsid w:val="000C46E3"/>
    <w:rsid w:val="000D4953"/>
    <w:rsid w:val="000E2196"/>
    <w:rsid w:val="000E2954"/>
    <w:rsid w:val="000F6900"/>
    <w:rsid w:val="0010289F"/>
    <w:rsid w:val="00104B5A"/>
    <w:rsid w:val="00114AB9"/>
    <w:rsid w:val="001172F6"/>
    <w:rsid w:val="001207EE"/>
    <w:rsid w:val="00123739"/>
    <w:rsid w:val="0012408A"/>
    <w:rsid w:val="00127E43"/>
    <w:rsid w:val="0013236D"/>
    <w:rsid w:val="001430E4"/>
    <w:rsid w:val="00157A64"/>
    <w:rsid w:val="00165292"/>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366F5"/>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C3010"/>
    <w:rsid w:val="005D006D"/>
    <w:rsid w:val="005D5463"/>
    <w:rsid w:val="005D78D7"/>
    <w:rsid w:val="005E0A76"/>
    <w:rsid w:val="005F17AE"/>
    <w:rsid w:val="005F4CE9"/>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2631"/>
    <w:rsid w:val="006E3D76"/>
    <w:rsid w:val="006F75C4"/>
    <w:rsid w:val="007034E5"/>
    <w:rsid w:val="00707A6E"/>
    <w:rsid w:val="00707FA7"/>
    <w:rsid w:val="00711D79"/>
    <w:rsid w:val="00715235"/>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823655"/>
    <w:rsid w:val="00836603"/>
    <w:rsid w:val="00871B95"/>
    <w:rsid w:val="00884F9E"/>
    <w:rsid w:val="0089519D"/>
    <w:rsid w:val="008A141F"/>
    <w:rsid w:val="008A2DFE"/>
    <w:rsid w:val="008B5DD9"/>
    <w:rsid w:val="008C2BB9"/>
    <w:rsid w:val="008C3422"/>
    <w:rsid w:val="008C6D8C"/>
    <w:rsid w:val="008E4B08"/>
    <w:rsid w:val="008E4DA0"/>
    <w:rsid w:val="008F3B9C"/>
    <w:rsid w:val="008F4D4A"/>
    <w:rsid w:val="00910544"/>
    <w:rsid w:val="00913123"/>
    <w:rsid w:val="0091613F"/>
    <w:rsid w:val="009179BA"/>
    <w:rsid w:val="0093002B"/>
    <w:rsid w:val="00931254"/>
    <w:rsid w:val="00940343"/>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26B8"/>
    <w:rsid w:val="00AF3C6F"/>
    <w:rsid w:val="00AF4FB8"/>
    <w:rsid w:val="00AF6C99"/>
    <w:rsid w:val="00AF7947"/>
    <w:rsid w:val="00B01D3B"/>
    <w:rsid w:val="00B112EA"/>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870C5"/>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A69C4"/>
    <w:rsid w:val="00EB348B"/>
    <w:rsid w:val="00EC20ED"/>
    <w:rsid w:val="00EC49FA"/>
    <w:rsid w:val="00ED2AD0"/>
    <w:rsid w:val="00EF099B"/>
    <w:rsid w:val="00F07D77"/>
    <w:rsid w:val="00F245C8"/>
    <w:rsid w:val="00F30AE8"/>
    <w:rsid w:val="00F4340E"/>
    <w:rsid w:val="00F93516"/>
    <w:rsid w:val="00FA20D0"/>
    <w:rsid w:val="00FA7DB8"/>
    <w:rsid w:val="00FC6A0B"/>
    <w:rsid w:val="00FD0207"/>
    <w:rsid w:val="00FD3695"/>
    <w:rsid w:val="00FD6592"/>
    <w:rsid w:val="00FE16EA"/>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D870C5"/>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D870C5"/>
    <w:rPr>
      <w:rFonts w:ascii="Arial" w:eastAsia="Calibri" w:hAnsi="Arial"/>
      <w:sz w:val="24"/>
      <w:lang w:val="es-ES" w:eastAsia="es-ES"/>
    </w:rPr>
  </w:style>
  <w:style w:type="character" w:styleId="Hipervnculo">
    <w:name w:val="Hyperlink"/>
    <w:rsid w:val="00EC20ED"/>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D870C5"/>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D870C5"/>
    <w:rPr>
      <w:rFonts w:ascii="Arial" w:eastAsia="Calibri" w:hAnsi="Arial"/>
      <w:sz w:val="24"/>
      <w:lang w:val="es-ES" w:eastAsia="es-ES"/>
    </w:rPr>
  </w:style>
  <w:style w:type="character" w:styleId="Hipervnculo">
    <w:name w:val="Hyperlink"/>
    <w:rsid w:val="00EC20E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2013-09-25T15:58:00Z</cp:lastPrinted>
  <dcterms:created xsi:type="dcterms:W3CDTF">2017-09-20T19:45:00Z</dcterms:created>
  <dcterms:modified xsi:type="dcterms:W3CDTF">2021-06-07T20:26:00Z</dcterms:modified>
</cp:coreProperties>
</file>